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8F44A5" w:rsidP="00356F18">
      <w:pPr>
        <w:pStyle w:val="Heading1"/>
        <w:spacing w:before="240"/>
        <w:jc w:val="center"/>
      </w:pPr>
      <w:r>
        <w:t>Business Computing, Building Codes</w:t>
      </w:r>
      <w:r w:rsidR="0053456A">
        <w:t xml:space="preserve"> Technology</w:t>
      </w:r>
      <w:r>
        <w:t xml:space="preserve">, Process Technology, </w:t>
      </w:r>
      <w:r w:rsidR="0053456A">
        <w:t xml:space="preserve">and </w:t>
      </w:r>
      <w:r>
        <w:t>Real Estate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lastRenderedPageBreak/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53456A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3456A">
              <w:rPr>
                <w:b/>
                <w:smallCaps/>
              </w:rPr>
              <w:t xml:space="preserve">Advise: </w:t>
            </w:r>
            <w:r w:rsidRPr="0053456A">
              <w:rPr>
                <w:rFonts w:eastAsia="Times New Roman"/>
              </w:rPr>
              <w:t xml:space="preserve">Serve as faculty advisor and mentor for </w:t>
            </w:r>
            <w:r w:rsidR="003E2145" w:rsidRPr="0053456A">
              <w:rPr>
                <w:rFonts w:eastAsia="Times New Roman"/>
              </w:rPr>
              <w:t xml:space="preserve">students who declare a </w:t>
            </w:r>
            <w:r w:rsidR="0053456A" w:rsidRPr="0053456A">
              <w:rPr>
                <w:rFonts w:eastAsia="Times New Roman"/>
              </w:rPr>
              <w:t>Business Computing, Building Codes Technology, Process Technology, or Real Estate</w:t>
            </w:r>
            <w:r w:rsidRPr="0053456A">
              <w:rPr>
                <w:rFonts w:eastAsia="Times New Roman"/>
              </w:rPr>
              <w:t xml:space="preserve"> 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C5" w:rsidRDefault="00B146C5" w:rsidP="00860431">
      <w:r>
        <w:separator/>
      </w:r>
    </w:p>
  </w:endnote>
  <w:endnote w:type="continuationSeparator" w:id="0">
    <w:p w:rsidR="00B146C5" w:rsidRDefault="00B146C5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6D7BC9" w:rsidRPr="006D7BC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6D7BC9" w:rsidRPr="006D7BC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6D7BC9" w:rsidRPr="006D7BC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6D7BC9" w:rsidRPr="006D7BC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6D7BC9" w:rsidRPr="006D7BC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6D7BC9" w:rsidRPr="006D7BC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6D7BC9" w:rsidRPr="006D7BC9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6D7BC9" w:rsidRPr="006D7BC9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C5" w:rsidRDefault="00B146C5" w:rsidP="00860431">
      <w:r>
        <w:separator/>
      </w:r>
    </w:p>
  </w:footnote>
  <w:footnote w:type="continuationSeparator" w:id="0">
    <w:p w:rsidR="00B146C5" w:rsidRDefault="00B146C5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8F44A5" w:rsidP="00F40CDF">
    <w:pPr>
      <w:pStyle w:val="Heading1"/>
      <w:spacing w:before="240"/>
      <w:jc w:val="center"/>
    </w:pPr>
    <w:r>
      <w:t xml:space="preserve">Business Computing, Building Codes Technology, Process Technology, </w:t>
    </w:r>
    <w:r w:rsidR="0053456A">
      <w:t xml:space="preserve">and </w:t>
    </w:r>
    <w:r>
      <w:t>Real Estate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724E0"/>
    <w:rsid w:val="00186F03"/>
    <w:rsid w:val="001961FB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3456A"/>
    <w:rsid w:val="00545070"/>
    <w:rsid w:val="00546ED8"/>
    <w:rsid w:val="0055658F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D7BC9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21331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146C5"/>
    <w:rsid w:val="00B57C29"/>
    <w:rsid w:val="00B57C30"/>
    <w:rsid w:val="00B6087A"/>
    <w:rsid w:val="00B667B4"/>
    <w:rsid w:val="00B774BB"/>
    <w:rsid w:val="00B80B48"/>
    <w:rsid w:val="00B923B9"/>
    <w:rsid w:val="00BE6DA5"/>
    <w:rsid w:val="00BF3849"/>
    <w:rsid w:val="00BF4E08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2568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84E87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A0DD9E-3FC9-4219-8B45-1B0DD5C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E1977-0252-4B23-A1DB-3061E595EDD4}"/>
</file>

<file path=customXml/itemProps2.xml><?xml version="1.0" encoding="utf-8"?>
<ds:datastoreItem xmlns:ds="http://schemas.openxmlformats.org/officeDocument/2006/customXml" ds:itemID="{4D0B697D-7F59-4817-922D-AB1B1B2277FE}"/>
</file>

<file path=customXml/itemProps3.xml><?xml version="1.0" encoding="utf-8"?>
<ds:datastoreItem xmlns:ds="http://schemas.openxmlformats.org/officeDocument/2006/customXml" ds:itemID="{C45C6A23-EAF0-4D07-9100-3C2607618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2018-11-15T17:16:00Z</dcterms:created>
  <dcterms:modified xsi:type="dcterms:W3CDTF">2018-11-15T17:16:00Z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